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6A1C2D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357F6A25" w14:textId="13AD17AF" w:rsidR="00B33BAC" w:rsidRPr="00552B23" w:rsidRDefault="00B1784E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B33BAC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1</w:t>
      </w:r>
      <w:r w:rsidR="00B33BAC">
        <w:rPr>
          <w:rFonts w:cstheme="minorHAnsi"/>
          <w:sz w:val="24"/>
          <w:szCs w:val="24"/>
        </w:rPr>
        <w:t xml:space="preserve">, </w:t>
      </w:r>
      <w:r w:rsidR="006E65A6">
        <w:rPr>
          <w:rFonts w:cstheme="minorHAnsi"/>
          <w:sz w:val="24"/>
          <w:szCs w:val="24"/>
        </w:rPr>
        <w:t>2024,</w:t>
      </w:r>
      <w:r w:rsidR="00B33BAC" w:rsidRPr="00552B23">
        <w:rPr>
          <w:rFonts w:cstheme="minorHAnsi"/>
          <w:sz w:val="24"/>
          <w:szCs w:val="24"/>
        </w:rPr>
        <w:t xml:space="preserve"> | 4:</w:t>
      </w:r>
      <w:r w:rsidR="00B33BAC">
        <w:rPr>
          <w:rFonts w:cstheme="minorHAnsi"/>
          <w:sz w:val="24"/>
          <w:szCs w:val="24"/>
        </w:rPr>
        <w:t>3</w:t>
      </w:r>
      <w:r w:rsidR="00B33BAC" w:rsidRPr="00552B23">
        <w:rPr>
          <w:rFonts w:cstheme="minorHAnsi"/>
          <w:sz w:val="24"/>
          <w:szCs w:val="24"/>
        </w:rPr>
        <w:t>0 PM</w:t>
      </w:r>
    </w:p>
    <w:p w14:paraId="7417DEBC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D474B" w14:textId="55125173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</w:t>
      </w:r>
      <w:r w:rsidR="006E65A6" w:rsidRPr="00202818">
        <w:rPr>
          <w:rFonts w:cstheme="minorHAnsi"/>
        </w:rPr>
        <w:t>@ 4:</w:t>
      </w:r>
      <w:r w:rsidR="003140C8">
        <w:rPr>
          <w:rFonts w:cstheme="minorHAnsi"/>
        </w:rPr>
        <w:t>30</w:t>
      </w:r>
      <w:r w:rsidR="00864717">
        <w:rPr>
          <w:rFonts w:cstheme="minorHAnsi"/>
        </w:rPr>
        <w:t xml:space="preserve">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0C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</w:p>
    <w:p w14:paraId="53A4BF8B" w14:textId="5559F0FF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0C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 xml:space="preserve">Greg Sparrow, Vice-Chair </w:t>
      </w:r>
    </w:p>
    <w:p w14:paraId="72551348" w14:textId="2CC0454E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0C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</w:p>
    <w:p w14:paraId="44D19E8D" w14:textId="774568C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0C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Larry Callant, Board Member</w:t>
      </w:r>
    </w:p>
    <w:p w14:paraId="38BC688E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2F03E78E" w14:textId="0B41CD6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43D6EF81" w14:textId="0E14885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163999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BAC" w:rsidRPr="00202818">
        <w:rPr>
          <w:rFonts w:cstheme="minorHAnsi"/>
        </w:rPr>
        <w:t>Rob LeSage, Attorney (Absent)</w:t>
      </w:r>
    </w:p>
    <w:p w14:paraId="27AEF531" w14:textId="4D3BE2BA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8263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Matt Cole, Attorney (Absent)</w:t>
      </w:r>
    </w:p>
    <w:p w14:paraId="7E011DA8" w14:textId="34A9C837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0C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0BDBB377" w14:textId="77777777" w:rsidR="00B33BAC" w:rsidRPr="00202818" w:rsidRDefault="00B33BAC" w:rsidP="006A1C2D">
      <w:pPr>
        <w:spacing w:after="0" w:line="240" w:lineRule="auto"/>
        <w:ind w:left="2160" w:firstLine="720"/>
        <w:rPr>
          <w:rFonts w:cstheme="minorHAnsi"/>
        </w:rPr>
      </w:pPr>
    </w:p>
    <w:p w14:paraId="58FB8BEB" w14:textId="1838E184" w:rsidR="00864717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="00864717">
        <w:rPr>
          <w:rFonts w:cstheme="minorHAnsi"/>
        </w:rPr>
        <w:t xml:space="preserve">Kristy Jones, Manager of </w:t>
      </w:r>
      <w:r w:rsidR="006E65A6">
        <w:rPr>
          <w:rFonts w:cstheme="minorHAnsi"/>
        </w:rPr>
        <w:t>Finance</w:t>
      </w:r>
    </w:p>
    <w:p w14:paraId="0D7D5FC6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</w:p>
    <w:p w14:paraId="1DCFE70E" w14:textId="5C0FB2C8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ACTION: Approval of Minutes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  <w:t xml:space="preserve">Discussion:  </w:t>
      </w:r>
      <w:r w:rsidR="00EB5CE2">
        <w:rPr>
          <w:rFonts w:cstheme="minorHAnsi"/>
        </w:rPr>
        <w:t>Aaqil was in attendance</w:t>
      </w:r>
      <w:r w:rsidR="004725FA">
        <w:rPr>
          <w:rFonts w:cstheme="minorHAnsi"/>
        </w:rPr>
        <w:t xml:space="preserve">. </w:t>
      </w:r>
      <w:r w:rsidR="00EB5CE2">
        <w:rPr>
          <w:rFonts w:cstheme="minorHAnsi"/>
        </w:rPr>
        <w:t>Minutes were updated</w:t>
      </w:r>
      <w:r w:rsidR="004725FA">
        <w:rPr>
          <w:rFonts w:cstheme="minorHAnsi"/>
        </w:rPr>
        <w:t xml:space="preserve">. </w:t>
      </w:r>
    </w:p>
    <w:p w14:paraId="4BDFB96F" w14:textId="292EE020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Motion:  </w:t>
      </w:r>
      <w:r w:rsidR="003140C8">
        <w:rPr>
          <w:rFonts w:cstheme="minorHAnsi"/>
        </w:rPr>
        <w:t>Greg Sparrow</w:t>
      </w:r>
    </w:p>
    <w:p w14:paraId="60D9BDC0" w14:textId="2A0CE1A8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Second Motion: - </w:t>
      </w:r>
      <w:r w:rsidR="003140C8">
        <w:rPr>
          <w:rFonts w:cstheme="minorHAnsi"/>
        </w:rPr>
        <w:t>Larry Callant</w:t>
      </w:r>
    </w:p>
    <w:p w14:paraId="1C515435" w14:textId="2F9FC969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>Opposed:  0</w:t>
      </w:r>
    </w:p>
    <w:p w14:paraId="6BE743EE" w14:textId="0488817D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Public Comment</w:t>
      </w:r>
      <w:r w:rsidRPr="00202818">
        <w:rPr>
          <w:rFonts w:cstheme="minorHAnsi"/>
        </w:rPr>
        <w:t xml:space="preserve"> – No comments.</w:t>
      </w:r>
    </w:p>
    <w:p w14:paraId="2225E6BB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</w:p>
    <w:p w14:paraId="231146F6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Executive Director Report</w:t>
      </w:r>
      <w:r w:rsidRPr="00202818">
        <w:rPr>
          <w:rFonts w:cstheme="minorHAnsi"/>
        </w:rPr>
        <w:t xml:space="preserve"> – See report attached.</w:t>
      </w:r>
    </w:p>
    <w:p w14:paraId="68DC1997" w14:textId="77777777" w:rsidR="00B33BAC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 xml:space="preserve">Greg went over the report. Highlighting several “old business” and “new business” items. </w:t>
      </w:r>
    </w:p>
    <w:p w14:paraId="13AE7E2F" w14:textId="77777777" w:rsidR="00B1784E" w:rsidRDefault="00B1784E" w:rsidP="006A1C2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1784E" w:rsidRPr="00B1784E" w14:paraId="268A95C1" w14:textId="77777777" w:rsidTr="00B1784E">
        <w:tc>
          <w:tcPr>
            <w:tcW w:w="2158" w:type="dxa"/>
          </w:tcPr>
          <w:p w14:paraId="7833A267" w14:textId="77777777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8" w:type="dxa"/>
          </w:tcPr>
          <w:p w14:paraId="6FEA3B3B" w14:textId="5783126E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January, 2024</w:t>
            </w:r>
          </w:p>
        </w:tc>
        <w:tc>
          <w:tcPr>
            <w:tcW w:w="2158" w:type="dxa"/>
          </w:tcPr>
          <w:p w14:paraId="07EF4358" w14:textId="6EA801BF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February, 2024</w:t>
            </w:r>
          </w:p>
        </w:tc>
        <w:tc>
          <w:tcPr>
            <w:tcW w:w="2158" w:type="dxa"/>
          </w:tcPr>
          <w:p w14:paraId="00F732A8" w14:textId="7B60BBE9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March, 2024</w:t>
            </w:r>
          </w:p>
        </w:tc>
        <w:tc>
          <w:tcPr>
            <w:tcW w:w="2158" w:type="dxa"/>
          </w:tcPr>
          <w:p w14:paraId="265F068A" w14:textId="6B1026D7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Total for Period</w:t>
            </w:r>
          </w:p>
        </w:tc>
      </w:tr>
      <w:tr w:rsidR="00B1784E" w14:paraId="76C7CA46" w14:textId="77777777" w:rsidTr="00B1784E">
        <w:tc>
          <w:tcPr>
            <w:tcW w:w="2158" w:type="dxa"/>
          </w:tcPr>
          <w:p w14:paraId="6BD96520" w14:textId="752C33DB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2158" w:type="dxa"/>
          </w:tcPr>
          <w:p w14:paraId="0E0971AB" w14:textId="68D53180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7,195</w:t>
            </w:r>
          </w:p>
        </w:tc>
        <w:tc>
          <w:tcPr>
            <w:tcW w:w="2158" w:type="dxa"/>
          </w:tcPr>
          <w:p w14:paraId="1B5A561C" w14:textId="10763F66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8,118</w:t>
            </w:r>
          </w:p>
        </w:tc>
        <w:tc>
          <w:tcPr>
            <w:tcW w:w="2158" w:type="dxa"/>
          </w:tcPr>
          <w:p w14:paraId="73A6315B" w14:textId="282B27C0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7,149</w:t>
            </w:r>
          </w:p>
        </w:tc>
        <w:tc>
          <w:tcPr>
            <w:tcW w:w="2158" w:type="dxa"/>
          </w:tcPr>
          <w:p w14:paraId="49C0714F" w14:textId="74DF7C5D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22,462</w:t>
            </w:r>
          </w:p>
        </w:tc>
      </w:tr>
      <w:tr w:rsidR="00B1784E" w14:paraId="30F2279B" w14:textId="77777777" w:rsidTr="00B1784E">
        <w:tc>
          <w:tcPr>
            <w:tcW w:w="2158" w:type="dxa"/>
          </w:tcPr>
          <w:p w14:paraId="418A478E" w14:textId="0FA5D503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2158" w:type="dxa"/>
          </w:tcPr>
          <w:p w14:paraId="70E7F736" w14:textId="45F697A2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2,181</w:t>
            </w:r>
          </w:p>
        </w:tc>
        <w:tc>
          <w:tcPr>
            <w:tcW w:w="2158" w:type="dxa"/>
          </w:tcPr>
          <w:p w14:paraId="0E03D0A6" w14:textId="179196C6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2,481</w:t>
            </w:r>
          </w:p>
        </w:tc>
        <w:tc>
          <w:tcPr>
            <w:tcW w:w="2158" w:type="dxa"/>
          </w:tcPr>
          <w:p w14:paraId="436837DC" w14:textId="5BA05F7E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2,276</w:t>
            </w:r>
          </w:p>
        </w:tc>
        <w:tc>
          <w:tcPr>
            <w:tcW w:w="2158" w:type="dxa"/>
          </w:tcPr>
          <w:p w14:paraId="1033DEAC" w14:textId="595B66CC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6,938</w:t>
            </w:r>
          </w:p>
        </w:tc>
      </w:tr>
      <w:tr w:rsidR="00B1784E" w14:paraId="13807794" w14:textId="77777777" w:rsidTr="00B1784E">
        <w:tc>
          <w:tcPr>
            <w:tcW w:w="2158" w:type="dxa"/>
          </w:tcPr>
          <w:p w14:paraId="2A4DC8B1" w14:textId="1B7360A6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2158" w:type="dxa"/>
          </w:tcPr>
          <w:p w14:paraId="0518FBDB" w14:textId="6F7F9C87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58,542</w:t>
            </w:r>
          </w:p>
        </w:tc>
        <w:tc>
          <w:tcPr>
            <w:tcW w:w="2158" w:type="dxa"/>
          </w:tcPr>
          <w:p w14:paraId="2A82B3F6" w14:textId="36A6D505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69,573</w:t>
            </w:r>
          </w:p>
        </w:tc>
        <w:tc>
          <w:tcPr>
            <w:tcW w:w="2158" w:type="dxa"/>
          </w:tcPr>
          <w:p w14:paraId="733EAF11" w14:textId="7DEF1BAA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63,307</w:t>
            </w:r>
          </w:p>
        </w:tc>
        <w:tc>
          <w:tcPr>
            <w:tcW w:w="2158" w:type="dxa"/>
          </w:tcPr>
          <w:p w14:paraId="46CF230D" w14:textId="4E1AB682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191,422</w:t>
            </w:r>
          </w:p>
        </w:tc>
      </w:tr>
      <w:tr w:rsidR="00B1784E" w14:paraId="6D4172F7" w14:textId="77777777" w:rsidTr="00B1784E">
        <w:tc>
          <w:tcPr>
            <w:tcW w:w="2158" w:type="dxa"/>
          </w:tcPr>
          <w:p w14:paraId="451966D8" w14:textId="186B8CB4" w:rsidR="00B1784E" w:rsidRPr="00B1784E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B1784E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2158" w:type="dxa"/>
          </w:tcPr>
          <w:p w14:paraId="7A8B58BD" w14:textId="328E7BA4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$19,531.95</w:t>
            </w:r>
          </w:p>
        </w:tc>
        <w:tc>
          <w:tcPr>
            <w:tcW w:w="2158" w:type="dxa"/>
          </w:tcPr>
          <w:p w14:paraId="4ED8368E" w14:textId="2F64C9BF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$28,426.43</w:t>
            </w:r>
          </w:p>
        </w:tc>
        <w:tc>
          <w:tcPr>
            <w:tcW w:w="2158" w:type="dxa"/>
          </w:tcPr>
          <w:p w14:paraId="57B1D501" w14:textId="154CF498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$23,799.59</w:t>
            </w:r>
          </w:p>
        </w:tc>
        <w:tc>
          <w:tcPr>
            <w:tcW w:w="2158" w:type="dxa"/>
          </w:tcPr>
          <w:p w14:paraId="5C456506" w14:textId="40F38B9E" w:rsidR="00B1784E" w:rsidRDefault="00B1784E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$71,758</w:t>
            </w:r>
          </w:p>
        </w:tc>
      </w:tr>
    </w:tbl>
    <w:p w14:paraId="22B4383D" w14:textId="4CDD568E" w:rsidR="00B1784E" w:rsidRDefault="00B1784E" w:rsidP="006A1C2D">
      <w:pPr>
        <w:spacing w:after="0" w:line="240" w:lineRule="auto"/>
        <w:rPr>
          <w:rFonts w:cstheme="minorHAnsi"/>
        </w:rPr>
      </w:pPr>
    </w:p>
    <w:p w14:paraId="71C5BB1D" w14:textId="5F49D656" w:rsidR="00B1784E" w:rsidRPr="00B1784E" w:rsidRDefault="00B1784E" w:rsidP="00B1784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B1784E">
        <w:rPr>
          <w:rFonts w:cstheme="minorHAnsi"/>
          <w:b/>
          <w:bCs/>
        </w:rPr>
        <w:t>Budget / Contracts for FY2025 (July 1, 2024 – June 30, 2025)</w:t>
      </w:r>
    </w:p>
    <w:p w14:paraId="456B6F69" w14:textId="4B5295D4" w:rsidR="00B1784E" w:rsidRPr="00B1784E" w:rsidRDefault="00B1784E" w:rsidP="00B1784E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FY 2025 Contract Applications have been submitted to IDOT.</w:t>
      </w:r>
    </w:p>
    <w:p w14:paraId="600E0D79" w14:textId="1A1C79F7" w:rsidR="00B1784E" w:rsidRPr="00B1784E" w:rsidRDefault="00B1784E" w:rsidP="00B1784E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Contractual amounts for State Fiscal Year 2025 are as follows:</w:t>
      </w:r>
    </w:p>
    <w:p w14:paraId="29A522F0" w14:textId="11184AF0" w:rsidR="00B1784E" w:rsidRPr="00B1784E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5311 Contract:  $283,450</w:t>
      </w:r>
    </w:p>
    <w:p w14:paraId="46A45D58" w14:textId="0DA76E4E" w:rsidR="00B1784E" w:rsidRPr="00B1784E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5311F Contract (I-88):  $1,100,000</w:t>
      </w:r>
    </w:p>
    <w:p w14:paraId="77E3F80D" w14:textId="5C6D6B66" w:rsidR="00B1784E" w:rsidRPr="00B1784E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5311F Contract (I-39):  $929,606</w:t>
      </w:r>
    </w:p>
    <w:p w14:paraId="52134C13" w14:textId="1CBA9D31" w:rsidR="00B1784E" w:rsidRPr="00B1784E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B1784E">
        <w:rPr>
          <w:rFonts w:cstheme="minorHAnsi"/>
        </w:rPr>
        <w:t>DOAP Contract:  $1,867,008</w:t>
      </w:r>
    </w:p>
    <w:p w14:paraId="0CFF76C3" w14:textId="77777777" w:rsidR="006A1C2D" w:rsidRDefault="006A1C2D" w:rsidP="006A1C2D">
      <w:pPr>
        <w:spacing w:after="0" w:line="240" w:lineRule="auto"/>
      </w:pPr>
    </w:p>
    <w:p w14:paraId="6B185740" w14:textId="5C7E959B" w:rsidR="000C39CB" w:rsidRPr="000C39CB" w:rsidRDefault="000C39CB" w:rsidP="000C39CB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0C39CB">
        <w:rPr>
          <w:b/>
          <w:bCs/>
        </w:rPr>
        <w:t>Architectural / Engineering Firm / Oregon facility construction</w:t>
      </w:r>
    </w:p>
    <w:p w14:paraId="13D9BE54" w14:textId="012C8A99" w:rsidR="000C39CB" w:rsidRDefault="000C39CB" w:rsidP="000C39CB">
      <w:pPr>
        <w:pStyle w:val="ListParagraph"/>
        <w:numPr>
          <w:ilvl w:val="1"/>
          <w:numId w:val="12"/>
        </w:numPr>
        <w:spacing w:after="0" w:line="240" w:lineRule="auto"/>
      </w:pPr>
      <w:r>
        <w:t>Pre-award concurrence has been received from IDOT</w:t>
      </w:r>
      <w:r w:rsidR="004725FA">
        <w:t xml:space="preserve">. </w:t>
      </w:r>
      <w:r>
        <w:t>Larson and Darby, an architectural firm out of Rockford, has been secured for the A&amp;E process.</w:t>
      </w:r>
    </w:p>
    <w:p w14:paraId="55BC3BB8" w14:textId="048A4A95" w:rsidR="000C39CB" w:rsidRDefault="000C39CB" w:rsidP="000C39CB">
      <w:pPr>
        <w:pStyle w:val="ListParagraph"/>
        <w:numPr>
          <w:ilvl w:val="1"/>
          <w:numId w:val="12"/>
        </w:numPr>
        <w:spacing w:after="0" w:line="240" w:lineRule="auto"/>
      </w:pPr>
      <w:r>
        <w:t>Architectural and Engineering firm has provided us with a 95% complete design of the Oregon facility</w:t>
      </w:r>
      <w:r w:rsidR="004725FA">
        <w:t xml:space="preserve">. </w:t>
      </w:r>
      <w:r>
        <w:t>This project is part of LOTS application under REBUILD Round 1.</w:t>
      </w:r>
    </w:p>
    <w:p w14:paraId="7EA23C7C" w14:textId="1BA1E8B1" w:rsidR="00EB5CE2" w:rsidRPr="00EB5CE2" w:rsidRDefault="006C4A89" w:rsidP="00EB5CE2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sign acknowledging the future site for the Oregon office location </w:t>
      </w:r>
      <w:r w:rsidR="00EB5CE2" w:rsidRPr="00EB5CE2">
        <w:rPr>
          <w:rFonts w:cstheme="minorHAnsi"/>
        </w:rPr>
        <w:t>is now up</w:t>
      </w:r>
      <w:r w:rsidR="004725FA" w:rsidRPr="00EB5CE2">
        <w:rPr>
          <w:rFonts w:cstheme="minorHAnsi"/>
        </w:rPr>
        <w:t xml:space="preserve">. </w:t>
      </w:r>
    </w:p>
    <w:p w14:paraId="559A122F" w14:textId="7BE3E19A" w:rsidR="00202818" w:rsidRPr="00202818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lastRenderedPageBreak/>
        <w:t>New Business</w:t>
      </w:r>
    </w:p>
    <w:p w14:paraId="32579187" w14:textId="77777777" w:rsidR="00202818" w:rsidRDefault="00202818" w:rsidP="006A1C2D">
      <w:pPr>
        <w:spacing w:after="0" w:line="240" w:lineRule="auto"/>
        <w:rPr>
          <w:b/>
          <w:bCs/>
        </w:rPr>
      </w:pPr>
    </w:p>
    <w:p w14:paraId="3F57E6C4" w14:textId="0AFAB22D" w:rsidR="00B1784E" w:rsidRDefault="00B1784E" w:rsidP="006A1C2D">
      <w:pPr>
        <w:spacing w:after="0" w:line="240" w:lineRule="auto"/>
        <w:rPr>
          <w:b/>
          <w:bCs/>
        </w:rPr>
      </w:pPr>
      <w:r>
        <w:rPr>
          <w:b/>
          <w:bCs/>
        </w:rPr>
        <w:t>Update:  Definitive Agreement on Asset Transfer</w:t>
      </w:r>
    </w:p>
    <w:p w14:paraId="5536EB5A" w14:textId="3B338F4B" w:rsidR="00B1784E" w:rsidRPr="00B1784E" w:rsidRDefault="00B1784E" w:rsidP="00B1784E">
      <w:pPr>
        <w:pStyle w:val="ListParagraph"/>
        <w:numPr>
          <w:ilvl w:val="0"/>
          <w:numId w:val="11"/>
        </w:numPr>
        <w:spacing w:after="0" w:line="240" w:lineRule="auto"/>
      </w:pPr>
      <w:r w:rsidRPr="00B1784E">
        <w:t xml:space="preserve">The Definitive Agreement, outlining the transition of assets to RMTD, has been approved by the Lee County Board and the Ogle County Board. </w:t>
      </w:r>
    </w:p>
    <w:p w14:paraId="43BBBA7E" w14:textId="55FBD2FD" w:rsidR="00B1784E" w:rsidRPr="00B1784E" w:rsidRDefault="00B1784E" w:rsidP="00B1784E">
      <w:pPr>
        <w:pStyle w:val="ListParagraph"/>
        <w:numPr>
          <w:ilvl w:val="1"/>
          <w:numId w:val="11"/>
        </w:numPr>
        <w:spacing w:after="0" w:line="240" w:lineRule="auto"/>
      </w:pPr>
      <w:r w:rsidRPr="00B1784E">
        <w:t>Work now begins on finalizing arrangements for RMTD to start by July 1, 2024.</w:t>
      </w:r>
    </w:p>
    <w:p w14:paraId="21E95DEE" w14:textId="04EB27CD" w:rsidR="00B1784E" w:rsidRDefault="00B1784E" w:rsidP="00B1784E">
      <w:pPr>
        <w:pStyle w:val="ListParagraph"/>
        <w:numPr>
          <w:ilvl w:val="1"/>
          <w:numId w:val="11"/>
        </w:numPr>
        <w:spacing w:after="0" w:line="240" w:lineRule="auto"/>
      </w:pPr>
      <w:r w:rsidRPr="00B1784E">
        <w:t>Closing between Lee County and RMTD will take place on June 28, 2024.</w:t>
      </w:r>
    </w:p>
    <w:p w14:paraId="4E1DA2E1" w14:textId="65503F56" w:rsidR="00EB5CE2" w:rsidRDefault="00EB5CE2" w:rsidP="00EB5CE2">
      <w:pPr>
        <w:pStyle w:val="ListParagraph"/>
        <w:numPr>
          <w:ilvl w:val="1"/>
          <w:numId w:val="11"/>
        </w:numPr>
        <w:spacing w:after="0" w:line="240" w:lineRule="auto"/>
      </w:pPr>
      <w:r>
        <w:t>Just received all of the required signatures today.  “To Do” list</w:t>
      </w:r>
      <w:r w:rsidR="004725FA">
        <w:t xml:space="preserve">. </w:t>
      </w:r>
      <w:r>
        <w:t>It is currently three pages of tasks</w:t>
      </w:r>
      <w:r w:rsidR="004725FA">
        <w:t xml:space="preserve">. </w:t>
      </w:r>
    </w:p>
    <w:p w14:paraId="5E36DB41" w14:textId="63AA3F27" w:rsidR="00EB5CE2" w:rsidRPr="00B1784E" w:rsidRDefault="00EB5CE2" w:rsidP="00EB5CE2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Greg went over the contract list and who is all working on this list. </w:t>
      </w:r>
    </w:p>
    <w:p w14:paraId="73005228" w14:textId="77777777" w:rsidR="00B1784E" w:rsidRDefault="00B1784E" w:rsidP="006A1C2D">
      <w:pPr>
        <w:spacing w:after="0" w:line="240" w:lineRule="auto"/>
        <w:rPr>
          <w:b/>
          <w:bCs/>
        </w:rPr>
      </w:pPr>
    </w:p>
    <w:p w14:paraId="24F47BDE" w14:textId="52E4C4C4" w:rsidR="00B1784E" w:rsidRDefault="006C4A89" w:rsidP="006A1C2D">
      <w:pPr>
        <w:spacing w:after="0" w:line="240" w:lineRule="auto"/>
        <w:rPr>
          <w:b/>
          <w:bCs/>
        </w:rPr>
      </w:pPr>
      <w:r>
        <w:rPr>
          <w:b/>
          <w:bCs/>
        </w:rPr>
        <w:t>Re-publication of RFP for Auditor</w:t>
      </w:r>
    </w:p>
    <w:p w14:paraId="2BAE31D5" w14:textId="024D345D" w:rsidR="00B1784E" w:rsidRPr="00353B24" w:rsidRDefault="00B1784E" w:rsidP="00353B24">
      <w:pPr>
        <w:pStyle w:val="ListParagraph"/>
        <w:numPr>
          <w:ilvl w:val="0"/>
          <w:numId w:val="11"/>
        </w:numPr>
        <w:spacing w:after="0" w:line="240" w:lineRule="auto"/>
      </w:pPr>
      <w:r w:rsidRPr="00353B24">
        <w:t>Audit Request for Proposals</w:t>
      </w:r>
      <w:r w:rsidR="0009488F" w:rsidRPr="00353B24">
        <w:t xml:space="preserve"> – This is in IDOT’s hands but has not provided concurrence</w:t>
      </w:r>
      <w:r w:rsidR="004725FA" w:rsidRPr="00353B24">
        <w:t xml:space="preserve">. </w:t>
      </w:r>
      <w:r w:rsidR="0009488F" w:rsidRPr="00353B24">
        <w:t xml:space="preserve">If we have met all the </w:t>
      </w:r>
      <w:r w:rsidR="004725FA" w:rsidRPr="00353B24">
        <w:t>thresholds</w:t>
      </w:r>
      <w:r w:rsidR="0009488F" w:rsidRPr="00353B24">
        <w:t>, we need to get this out immediately</w:t>
      </w:r>
      <w:r w:rsidR="004725FA" w:rsidRPr="00353B24">
        <w:t xml:space="preserve">. </w:t>
      </w:r>
      <w:r w:rsidR="0009488F" w:rsidRPr="00353B24">
        <w:t>Steve will be looking into this</w:t>
      </w:r>
      <w:r w:rsidR="004725FA" w:rsidRPr="00353B24">
        <w:t xml:space="preserve">. </w:t>
      </w:r>
      <w:r w:rsidR="006C4A89">
        <w:br/>
      </w:r>
    </w:p>
    <w:p w14:paraId="2D65D1CC" w14:textId="5E7D28D8" w:rsidR="00B1784E" w:rsidRPr="00353B24" w:rsidRDefault="006C4A89" w:rsidP="006A1C2D">
      <w:pPr>
        <w:spacing w:after="0" w:line="240" w:lineRule="auto"/>
        <w:rPr>
          <w:b/>
          <w:bCs/>
        </w:rPr>
      </w:pPr>
      <w:r>
        <w:rPr>
          <w:b/>
          <w:bCs/>
        </w:rPr>
        <w:t>IT</w:t>
      </w:r>
      <w:r w:rsidR="00B1784E" w:rsidRPr="00353B24">
        <w:rPr>
          <w:b/>
          <w:bCs/>
        </w:rPr>
        <w:t xml:space="preserve"> R</w:t>
      </w:r>
      <w:r>
        <w:rPr>
          <w:b/>
          <w:bCs/>
        </w:rPr>
        <w:t>equest for Proposals</w:t>
      </w:r>
    </w:p>
    <w:p w14:paraId="4E8D4468" w14:textId="69121AC5" w:rsidR="00B1784E" w:rsidRPr="00353B24" w:rsidRDefault="00B1784E" w:rsidP="00353B24">
      <w:pPr>
        <w:pStyle w:val="ListParagraph"/>
        <w:numPr>
          <w:ilvl w:val="0"/>
          <w:numId w:val="11"/>
        </w:numPr>
        <w:spacing w:after="0" w:line="240" w:lineRule="auto"/>
      </w:pPr>
      <w:r w:rsidRPr="00353B24">
        <w:t>IT Services’ Request for Proposals</w:t>
      </w:r>
      <w:r w:rsidR="00232B88" w:rsidRPr="00353B24">
        <w:t xml:space="preserve"> – we have gone through the process</w:t>
      </w:r>
      <w:r w:rsidR="004725FA" w:rsidRPr="00353B24">
        <w:t xml:space="preserve">. </w:t>
      </w:r>
      <w:r w:rsidR="00232B88" w:rsidRPr="00353B24">
        <w:t xml:space="preserve">Received 4 and have </w:t>
      </w:r>
      <w:r w:rsidR="004725FA" w:rsidRPr="00353B24">
        <w:t>chosen</w:t>
      </w:r>
      <w:r w:rsidR="00232B88" w:rsidRPr="00353B24">
        <w:t xml:space="preserve"> the successful one and the preaward concurrence has been sent to IDOT</w:t>
      </w:r>
      <w:r w:rsidR="006C4A89">
        <w:t>. Aw</w:t>
      </w:r>
      <w:r w:rsidR="00232B88" w:rsidRPr="00353B24">
        <w:t xml:space="preserve">aiting to get their approval.  </w:t>
      </w:r>
    </w:p>
    <w:p w14:paraId="1B935118" w14:textId="77777777" w:rsidR="00353B24" w:rsidRDefault="00353B24" w:rsidP="006A1C2D">
      <w:pPr>
        <w:spacing w:after="0" w:line="240" w:lineRule="auto"/>
      </w:pPr>
    </w:p>
    <w:p w14:paraId="53AD3DCE" w14:textId="1ECB8F82" w:rsidR="000C39CB" w:rsidRDefault="00B1784E" w:rsidP="006A1C2D">
      <w:pPr>
        <w:spacing w:after="0" w:line="240" w:lineRule="auto"/>
        <w:rPr>
          <w:b/>
          <w:bCs/>
        </w:rPr>
      </w:pPr>
      <w:r w:rsidRPr="00353B24">
        <w:rPr>
          <w:b/>
          <w:bCs/>
        </w:rPr>
        <w:t xml:space="preserve">Finance Policy </w:t>
      </w:r>
      <w:r w:rsidR="000C39CB" w:rsidRPr="00353B24">
        <w:rPr>
          <w:b/>
          <w:bCs/>
        </w:rPr>
        <w:t>–</w:t>
      </w:r>
      <w:r w:rsidRPr="00353B24">
        <w:rPr>
          <w:b/>
          <w:bCs/>
        </w:rPr>
        <w:t xml:space="preserve"> ACTION</w:t>
      </w:r>
      <w:r w:rsidR="00353B24">
        <w:rPr>
          <w:b/>
          <w:bCs/>
        </w:rPr>
        <w:t xml:space="preserve"> – no action </w:t>
      </w:r>
      <w:r w:rsidR="004725FA">
        <w:rPr>
          <w:b/>
          <w:bCs/>
        </w:rPr>
        <w:t>taken.</w:t>
      </w:r>
      <w:r w:rsidR="006C4A89">
        <w:rPr>
          <w:b/>
          <w:bCs/>
        </w:rPr>
        <w:t xml:space="preserve"> </w:t>
      </w:r>
    </w:p>
    <w:p w14:paraId="0D586FC2" w14:textId="6C481124" w:rsidR="0009488F" w:rsidRDefault="0009488F" w:rsidP="00353B24">
      <w:pPr>
        <w:pStyle w:val="ListParagraph"/>
        <w:numPr>
          <w:ilvl w:val="0"/>
          <w:numId w:val="11"/>
        </w:numPr>
        <w:spacing w:after="0" w:line="240" w:lineRule="auto"/>
      </w:pPr>
      <w:r w:rsidRPr="0009488F">
        <w:t>Have discussed this previously</w:t>
      </w:r>
      <w:r>
        <w:t>, however we</w:t>
      </w:r>
      <w:r w:rsidR="00353B24">
        <w:t xml:space="preserve"> are</w:t>
      </w:r>
      <w:r>
        <w:t xml:space="preserve"> waiting for approval from the Board</w:t>
      </w:r>
      <w:r w:rsidR="004725FA">
        <w:t xml:space="preserve">. </w:t>
      </w:r>
      <w:r>
        <w:t>$2500 and below, Greg could approve</w:t>
      </w:r>
      <w:r w:rsidR="004725FA">
        <w:t xml:space="preserve">. </w:t>
      </w:r>
      <w:r>
        <w:t>Anything higher would need to go to the Board</w:t>
      </w:r>
      <w:r w:rsidR="004725FA">
        <w:t xml:space="preserve">. </w:t>
      </w:r>
      <w:r>
        <w:t>Trying to get away from having to approval the payment of utility bills</w:t>
      </w:r>
      <w:r w:rsidR="004725FA">
        <w:t xml:space="preserve">. </w:t>
      </w:r>
      <w:r>
        <w:t>Looking at having 2 times a month for claims.  May need to look at the meeting schedule</w:t>
      </w:r>
      <w:r w:rsidR="004725FA">
        <w:t xml:space="preserve">. </w:t>
      </w:r>
      <w:r>
        <w:t>Kristy will look at RIDES and possibly DeKalb to see where they are at.  This will be discussed at the next meeting</w:t>
      </w:r>
      <w:r w:rsidR="004725FA">
        <w:t xml:space="preserve">. </w:t>
      </w:r>
      <w:r>
        <w:t xml:space="preserve">Board members will go through the Policy in detail and be prepared for discussion at </w:t>
      </w:r>
      <w:r w:rsidR="00353B24">
        <w:t>the</w:t>
      </w:r>
      <w:r>
        <w:t xml:space="preserve"> May</w:t>
      </w:r>
      <w:r w:rsidR="00353B24">
        <w:t xml:space="preserve"> meeting</w:t>
      </w:r>
      <w:r w:rsidR="004725FA">
        <w:t xml:space="preserve">. </w:t>
      </w:r>
      <w:r>
        <w:t>LOTS will go by the most restrictive by default (IDOT)</w:t>
      </w:r>
    </w:p>
    <w:p w14:paraId="779A7AE5" w14:textId="77777777" w:rsidR="0009488F" w:rsidRPr="0009488F" w:rsidRDefault="0009488F" w:rsidP="0009488F">
      <w:pPr>
        <w:spacing w:after="0" w:line="240" w:lineRule="auto"/>
      </w:pPr>
    </w:p>
    <w:p w14:paraId="782978B5" w14:textId="2471D29A" w:rsidR="00353B24" w:rsidRPr="00353B24" w:rsidRDefault="00353B24" w:rsidP="006A1C2D">
      <w:pPr>
        <w:spacing w:after="0" w:line="240" w:lineRule="auto"/>
        <w:rPr>
          <w:b/>
          <w:bCs/>
        </w:rPr>
      </w:pPr>
      <w:r w:rsidRPr="00353B24">
        <w:rPr>
          <w:b/>
          <w:bCs/>
        </w:rPr>
        <w:t>Hydrogen Project</w:t>
      </w:r>
    </w:p>
    <w:p w14:paraId="095855AF" w14:textId="5D2C96B1" w:rsidR="00B1784E" w:rsidRPr="000C39CB" w:rsidRDefault="000C39CB" w:rsidP="00353B2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LOTS is submitting an application </w:t>
      </w:r>
      <w:r w:rsidR="006C4A89">
        <w:t xml:space="preserve">to IDOT/State Planning and Research </w:t>
      </w:r>
      <w:r>
        <w:t xml:space="preserve">on the feasibility of hydrogen as a fuel for development and use in rural public transportation system.  Proposal </w:t>
      </w:r>
      <w:r w:rsidR="006C4A89">
        <w:t>due by</w:t>
      </w:r>
      <w:r>
        <w:t xml:space="preserve"> April 14</w:t>
      </w:r>
      <w:r w:rsidRPr="00353B24">
        <w:rPr>
          <w:vertAlign w:val="superscript"/>
        </w:rPr>
        <w:t>th</w:t>
      </w:r>
      <w:r>
        <w:t>.</w:t>
      </w:r>
    </w:p>
    <w:p w14:paraId="7D3528C7" w14:textId="77777777" w:rsidR="000C39CB" w:rsidRDefault="000C39CB" w:rsidP="006A1C2D">
      <w:pPr>
        <w:spacing w:after="0" w:line="240" w:lineRule="auto"/>
        <w:rPr>
          <w:b/>
          <w:bCs/>
        </w:rPr>
      </w:pPr>
    </w:p>
    <w:p w14:paraId="38F80953" w14:textId="4E823216" w:rsidR="00B1784E" w:rsidRDefault="00B1784E" w:rsidP="006A1C2D">
      <w:pPr>
        <w:spacing w:after="0" w:line="240" w:lineRule="auto"/>
        <w:rPr>
          <w:b/>
          <w:bCs/>
        </w:rPr>
      </w:pPr>
      <w:r>
        <w:rPr>
          <w:b/>
          <w:bCs/>
        </w:rPr>
        <w:t>Feasibility Studies for Dixon and Rochelle</w:t>
      </w:r>
    </w:p>
    <w:p w14:paraId="64DCA4DF" w14:textId="3FF32D5A" w:rsidR="00B1784E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Work has started with RLS and Associates on Feasibility Studies for Dixon and Rochelle.</w:t>
      </w:r>
    </w:p>
    <w:p w14:paraId="2CB516EB" w14:textId="5FF2952E" w:rsidR="000C39CB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The Feasibility Study’s Public Survey will remain open until April 30</w:t>
      </w:r>
      <w:r w:rsidRPr="000C39CB">
        <w:rPr>
          <w:vertAlign w:val="superscript"/>
        </w:rPr>
        <w:t>th</w:t>
      </w:r>
      <w:r>
        <w:t>.</w:t>
      </w:r>
    </w:p>
    <w:p w14:paraId="790B099B" w14:textId="03C9C75F" w:rsidR="000C39CB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Public Meetings in Dixon are scheduled for April 16</w:t>
      </w:r>
      <w:r w:rsidRPr="000C39CB">
        <w:rPr>
          <w:vertAlign w:val="superscript"/>
        </w:rPr>
        <w:t>th</w:t>
      </w:r>
      <w:r>
        <w:t>.</w:t>
      </w:r>
    </w:p>
    <w:p w14:paraId="5FE47587" w14:textId="7CFB0FAE" w:rsidR="000C39CB" w:rsidRDefault="000C39CB" w:rsidP="000C39CB">
      <w:pPr>
        <w:pStyle w:val="ListParagraph"/>
        <w:numPr>
          <w:ilvl w:val="1"/>
          <w:numId w:val="11"/>
        </w:numPr>
        <w:spacing w:after="0" w:line="240" w:lineRule="auto"/>
      </w:pPr>
      <w:r>
        <w:t>1</w:t>
      </w:r>
      <w:r w:rsidRPr="000C39CB">
        <w:rPr>
          <w:vertAlign w:val="superscript"/>
        </w:rPr>
        <w:t>st</w:t>
      </w:r>
      <w:r>
        <w:t xml:space="preserve"> meeting is 1:00 PM – 2:30 PM at Dixon Park District</w:t>
      </w:r>
    </w:p>
    <w:p w14:paraId="71C27D48" w14:textId="4C9BD7EC" w:rsidR="000C39CB" w:rsidRDefault="000C39CB" w:rsidP="000C39CB">
      <w:pPr>
        <w:pStyle w:val="ListParagraph"/>
        <w:numPr>
          <w:ilvl w:val="1"/>
          <w:numId w:val="11"/>
        </w:numPr>
        <w:spacing w:after="0" w:line="240" w:lineRule="auto"/>
      </w:pPr>
      <w:r>
        <w:t>2</w:t>
      </w:r>
      <w:r w:rsidRPr="000C39CB">
        <w:rPr>
          <w:vertAlign w:val="superscript"/>
        </w:rPr>
        <w:t>nd</w:t>
      </w:r>
      <w:r>
        <w:t xml:space="preserve"> meeting is 5:30 PM – 7:00 PM at Dixon Park District</w:t>
      </w:r>
    </w:p>
    <w:p w14:paraId="43BEE25B" w14:textId="17C6DDA8" w:rsidR="000C39CB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Public Meetings in Rochelle are scheduled for April 17</w:t>
      </w:r>
      <w:r w:rsidRPr="000C39CB">
        <w:rPr>
          <w:vertAlign w:val="superscript"/>
        </w:rPr>
        <w:t>th</w:t>
      </w:r>
    </w:p>
    <w:p w14:paraId="7A09E862" w14:textId="1F88BC57" w:rsidR="000C39CB" w:rsidRDefault="000C39CB" w:rsidP="000C39CB">
      <w:pPr>
        <w:pStyle w:val="ListParagraph"/>
        <w:numPr>
          <w:ilvl w:val="1"/>
          <w:numId w:val="11"/>
        </w:numPr>
        <w:spacing w:after="0" w:line="240" w:lineRule="auto"/>
      </w:pPr>
      <w:r>
        <w:t>1</w:t>
      </w:r>
      <w:r w:rsidRPr="000C39CB">
        <w:rPr>
          <w:vertAlign w:val="superscript"/>
        </w:rPr>
        <w:t>st</w:t>
      </w:r>
      <w:r>
        <w:t xml:space="preserve"> meeting is 1:00 PM – 2:30 PM at Rochelle City Hall</w:t>
      </w:r>
    </w:p>
    <w:p w14:paraId="4100A0E2" w14:textId="4848F659" w:rsidR="000C39CB" w:rsidRDefault="000C39CB" w:rsidP="000C39CB">
      <w:pPr>
        <w:pStyle w:val="ListParagraph"/>
        <w:numPr>
          <w:ilvl w:val="1"/>
          <w:numId w:val="11"/>
        </w:numPr>
        <w:spacing w:after="0" w:line="240" w:lineRule="auto"/>
      </w:pPr>
      <w:r>
        <w:t>2</w:t>
      </w:r>
      <w:r w:rsidRPr="000C39CB">
        <w:rPr>
          <w:vertAlign w:val="superscript"/>
        </w:rPr>
        <w:t>nd</w:t>
      </w:r>
      <w:r>
        <w:t xml:space="preserve"> meeting is 5:30 PM – 7:00 PM at Rochelle City Hall</w:t>
      </w:r>
    </w:p>
    <w:p w14:paraId="7F78A155" w14:textId="4B3F4B55" w:rsidR="000C39CB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The feasibility studies will consider the potential of creating fixed routes for the cities.</w:t>
      </w:r>
    </w:p>
    <w:p w14:paraId="040DC26A" w14:textId="5CDEF59F" w:rsidR="000C39CB" w:rsidRDefault="000C39CB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The studies are running concurrently with completion by end of August, 2024.</w:t>
      </w:r>
    </w:p>
    <w:p w14:paraId="623E3426" w14:textId="62AFA5BA" w:rsidR="00EB5CE2" w:rsidRPr="00B1784E" w:rsidRDefault="004725FA" w:rsidP="000C39CB">
      <w:pPr>
        <w:pStyle w:val="ListParagraph"/>
        <w:numPr>
          <w:ilvl w:val="0"/>
          <w:numId w:val="11"/>
        </w:numPr>
        <w:spacing w:after="0" w:line="240" w:lineRule="auto"/>
      </w:pPr>
      <w:r>
        <w:t>The Public</w:t>
      </w:r>
      <w:r w:rsidR="00EB5CE2">
        <w:t xml:space="preserve"> Meeting agenda will include an expansion of what has already happened</w:t>
      </w:r>
      <w:r>
        <w:t xml:space="preserve">. </w:t>
      </w:r>
      <w:r w:rsidR="00EB5CE2">
        <w:t>They have begun to look at what a possible route could look like</w:t>
      </w:r>
      <w:r w:rsidR="00353B24">
        <w:t>, w</w:t>
      </w:r>
      <w:r w:rsidR="00EB5CE2">
        <w:t xml:space="preserve">hat </w:t>
      </w:r>
      <w:r>
        <w:t>we would</w:t>
      </w:r>
      <w:r w:rsidR="00EB5CE2">
        <w:t xml:space="preserve"> need to get to and what would it look like.  </w:t>
      </w:r>
    </w:p>
    <w:p w14:paraId="55A7B0E9" w14:textId="77777777" w:rsidR="00B1784E" w:rsidRDefault="00B1784E" w:rsidP="006A1C2D">
      <w:pPr>
        <w:spacing w:after="0" w:line="240" w:lineRule="auto"/>
        <w:rPr>
          <w:b/>
          <w:bCs/>
        </w:rPr>
      </w:pPr>
    </w:p>
    <w:p w14:paraId="7355663F" w14:textId="18DA581C" w:rsidR="00B1784E" w:rsidRDefault="00B1784E" w:rsidP="006A1C2D">
      <w:pPr>
        <w:spacing w:after="0" w:line="240" w:lineRule="auto"/>
        <w:rPr>
          <w:b/>
          <w:bCs/>
        </w:rPr>
      </w:pPr>
      <w:r>
        <w:rPr>
          <w:b/>
          <w:bCs/>
        </w:rPr>
        <w:t>State Planning and Research Grant / Transportation Desert</w:t>
      </w:r>
    </w:p>
    <w:p w14:paraId="546CF223" w14:textId="61F918F6" w:rsidR="00232B88" w:rsidRPr="00232B88" w:rsidRDefault="00232B88" w:rsidP="00353B24">
      <w:pPr>
        <w:pStyle w:val="ListParagraph"/>
        <w:numPr>
          <w:ilvl w:val="0"/>
          <w:numId w:val="13"/>
        </w:numPr>
        <w:spacing w:after="0" w:line="240" w:lineRule="auto"/>
      </w:pPr>
      <w:r>
        <w:t>We are waiting on IDOT</w:t>
      </w:r>
      <w:r w:rsidR="004725FA">
        <w:t xml:space="preserve">. </w:t>
      </w:r>
      <w:r>
        <w:t xml:space="preserve">They </w:t>
      </w:r>
      <w:r w:rsidR="00353B24">
        <w:t>h</w:t>
      </w:r>
      <w:r>
        <w:t>ave been presented with the RFP</w:t>
      </w:r>
      <w:r w:rsidR="004725FA">
        <w:t xml:space="preserve">. </w:t>
      </w:r>
      <w:r>
        <w:t>We are waiting for them to give approval for prebid concurrence</w:t>
      </w:r>
      <w:r w:rsidR="004725FA">
        <w:t xml:space="preserve">. </w:t>
      </w:r>
      <w:r>
        <w:t>It is looking at the two</w:t>
      </w:r>
      <w:r w:rsidR="00353B24">
        <w:t>-</w:t>
      </w:r>
      <w:r>
        <w:t>county region and we are asking NIU to be our partner in th</w:t>
      </w:r>
      <w:r w:rsidR="00353B24">
        <w:t>is</w:t>
      </w:r>
      <w:r w:rsidR="004725FA">
        <w:t xml:space="preserve">. </w:t>
      </w:r>
      <w:r>
        <w:t>What are the current needs and what we can do to meet them</w:t>
      </w:r>
      <w:r w:rsidR="004725FA">
        <w:t xml:space="preserve">? </w:t>
      </w:r>
      <w:r>
        <w:t>What are the barriers</w:t>
      </w:r>
      <w:r w:rsidR="004725FA">
        <w:t xml:space="preserve">? </w:t>
      </w:r>
    </w:p>
    <w:p w14:paraId="53B05851" w14:textId="77777777" w:rsidR="00B1784E" w:rsidRDefault="00B1784E" w:rsidP="006A1C2D">
      <w:pPr>
        <w:spacing w:after="0" w:line="240" w:lineRule="auto"/>
        <w:rPr>
          <w:b/>
          <w:bCs/>
        </w:rPr>
      </w:pPr>
    </w:p>
    <w:p w14:paraId="384B362F" w14:textId="5C2163DE" w:rsidR="00B1784E" w:rsidRDefault="00B1784E" w:rsidP="006A1C2D">
      <w:pPr>
        <w:spacing w:after="0" w:line="240" w:lineRule="auto"/>
        <w:rPr>
          <w:b/>
          <w:bCs/>
        </w:rPr>
      </w:pPr>
      <w:r>
        <w:rPr>
          <w:b/>
          <w:bCs/>
        </w:rPr>
        <w:t>Rural Winnebago County Transit Services</w:t>
      </w:r>
    </w:p>
    <w:p w14:paraId="2DAAA22F" w14:textId="59B7E380" w:rsidR="00B1784E" w:rsidRPr="00B1784E" w:rsidRDefault="00B1784E" w:rsidP="00B1784E">
      <w:pPr>
        <w:pStyle w:val="ListParagraph"/>
        <w:numPr>
          <w:ilvl w:val="0"/>
          <w:numId w:val="11"/>
        </w:numPr>
        <w:spacing w:after="0" w:line="240" w:lineRule="auto"/>
      </w:pPr>
      <w:r w:rsidRPr="00B1784E">
        <w:t>The Winnebago County Board is continuing to work toward the launch of rural public transportation services on July 1, 2024.</w:t>
      </w:r>
    </w:p>
    <w:p w14:paraId="49914B02" w14:textId="5A594B23" w:rsidR="00B1784E" w:rsidRPr="00B1784E" w:rsidRDefault="00B1784E" w:rsidP="00B1784E">
      <w:pPr>
        <w:pStyle w:val="ListParagraph"/>
        <w:numPr>
          <w:ilvl w:val="1"/>
          <w:numId w:val="11"/>
        </w:numPr>
        <w:spacing w:after="0" w:line="240" w:lineRule="auto"/>
      </w:pPr>
      <w:r w:rsidRPr="00B1784E">
        <w:lastRenderedPageBreak/>
        <w:t>An Intergovernmental Agreement with Winnebago County is being completed to formalize the provision of transportation services.</w:t>
      </w:r>
    </w:p>
    <w:p w14:paraId="75350C6C" w14:textId="3800CD23" w:rsidR="00B1784E" w:rsidRPr="00B1784E" w:rsidRDefault="00B1784E" w:rsidP="00B1784E">
      <w:pPr>
        <w:pStyle w:val="ListParagraph"/>
        <w:numPr>
          <w:ilvl w:val="1"/>
          <w:numId w:val="11"/>
        </w:numPr>
        <w:spacing w:after="0" w:line="240" w:lineRule="auto"/>
      </w:pPr>
      <w:r w:rsidRPr="00B1784E">
        <w:t>The formal request from Winnebago County for three (3) vehicles to be used in that county will be made in the coming weeks.</w:t>
      </w:r>
    </w:p>
    <w:p w14:paraId="1FFA4BE5" w14:textId="132B8109" w:rsidR="00B1784E" w:rsidRPr="00B1784E" w:rsidRDefault="00B1784E" w:rsidP="00B1784E">
      <w:pPr>
        <w:pStyle w:val="ListParagraph"/>
        <w:numPr>
          <w:ilvl w:val="1"/>
          <w:numId w:val="11"/>
        </w:numPr>
        <w:spacing w:after="0" w:line="240" w:lineRule="auto"/>
      </w:pPr>
      <w:r w:rsidRPr="00B1784E">
        <w:t>The contractual budget proposed by IDOT for this new service is as follows:</w:t>
      </w:r>
    </w:p>
    <w:p w14:paraId="6E6E61B2" w14:textId="6F3DEB48" w:rsidR="00B1784E" w:rsidRPr="00B1784E" w:rsidRDefault="00B1784E" w:rsidP="00B1784E">
      <w:pPr>
        <w:pStyle w:val="ListParagraph"/>
        <w:numPr>
          <w:ilvl w:val="2"/>
          <w:numId w:val="11"/>
        </w:numPr>
        <w:spacing w:after="0" w:line="240" w:lineRule="auto"/>
      </w:pPr>
      <w:r w:rsidRPr="00B1784E">
        <w:t>5311 Contract:  $207,864</w:t>
      </w:r>
    </w:p>
    <w:p w14:paraId="590377C7" w14:textId="0D9CC89B" w:rsidR="00B1784E" w:rsidRDefault="00B1784E" w:rsidP="00B1784E">
      <w:pPr>
        <w:pStyle w:val="ListParagraph"/>
        <w:numPr>
          <w:ilvl w:val="2"/>
          <w:numId w:val="11"/>
        </w:numPr>
        <w:spacing w:after="0" w:line="240" w:lineRule="auto"/>
      </w:pPr>
      <w:r w:rsidRPr="00B1784E">
        <w:t>DOAP Contract:  $798,728</w:t>
      </w:r>
    </w:p>
    <w:p w14:paraId="2E99A40A" w14:textId="1CD0056E" w:rsidR="00EB5CE2" w:rsidRPr="00B1784E" w:rsidRDefault="00EB5CE2" w:rsidP="00353B24">
      <w:pPr>
        <w:pStyle w:val="ListParagraph"/>
        <w:numPr>
          <w:ilvl w:val="2"/>
          <w:numId w:val="11"/>
        </w:numPr>
        <w:spacing w:after="0" w:line="240" w:lineRule="auto"/>
        <w:ind w:left="720" w:hanging="270"/>
      </w:pPr>
      <w:r>
        <w:t>Will have a follow up with some of the leaders sometime next week</w:t>
      </w:r>
      <w:r w:rsidR="004725FA">
        <w:t xml:space="preserve">. </w:t>
      </w:r>
    </w:p>
    <w:p w14:paraId="1270A08F" w14:textId="77777777" w:rsidR="00B1784E" w:rsidRDefault="00B1784E" w:rsidP="006A1C2D">
      <w:pPr>
        <w:spacing w:after="0" w:line="240" w:lineRule="auto"/>
        <w:rPr>
          <w:b/>
          <w:bCs/>
        </w:rPr>
      </w:pPr>
    </w:p>
    <w:p w14:paraId="187021B3" w14:textId="00CDA45F" w:rsidR="00B1784E" w:rsidRDefault="00B1784E" w:rsidP="006A1C2D">
      <w:pPr>
        <w:spacing w:after="0" w:line="240" w:lineRule="auto"/>
        <w:rPr>
          <w:b/>
          <w:bCs/>
        </w:rPr>
      </w:pPr>
      <w:r>
        <w:rPr>
          <w:b/>
          <w:bCs/>
        </w:rPr>
        <w:t>Open Meetings Act Certification</w:t>
      </w:r>
      <w:r w:rsidR="00232B88">
        <w:rPr>
          <w:b/>
          <w:bCs/>
        </w:rPr>
        <w:t xml:space="preserve"> – All compliant</w:t>
      </w:r>
    </w:p>
    <w:p w14:paraId="7A4D8FEA" w14:textId="77777777" w:rsidR="00B1784E" w:rsidRDefault="00B1784E" w:rsidP="006A1C2D">
      <w:pPr>
        <w:spacing w:after="0" w:line="240" w:lineRule="auto"/>
        <w:rPr>
          <w:b/>
          <w:bCs/>
        </w:rPr>
      </w:pPr>
    </w:p>
    <w:p w14:paraId="68723BCE" w14:textId="54719A19" w:rsidR="00202818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t>Other Business</w:t>
      </w:r>
    </w:p>
    <w:p w14:paraId="288B93B0" w14:textId="77777777" w:rsidR="00B1784E" w:rsidRDefault="00B1784E" w:rsidP="006A1C2D">
      <w:pPr>
        <w:spacing w:after="0" w:line="240" w:lineRule="auto"/>
        <w:rPr>
          <w:b/>
          <w:bCs/>
          <w:u w:val="single"/>
        </w:rPr>
      </w:pPr>
    </w:p>
    <w:p w14:paraId="53F5FDE7" w14:textId="0A700575" w:rsidR="00B1784E" w:rsidRDefault="00B1784E" w:rsidP="006A1C2D">
      <w:pPr>
        <w:spacing w:after="0" w:line="240" w:lineRule="auto"/>
        <w:rPr>
          <w:b/>
          <w:bCs/>
        </w:rPr>
      </w:pPr>
      <w:r w:rsidRPr="00B1784E">
        <w:rPr>
          <w:b/>
          <w:bCs/>
        </w:rPr>
        <w:t>RMTD Health Insurance Premiums</w:t>
      </w:r>
    </w:p>
    <w:p w14:paraId="11643189" w14:textId="0FADD24C" w:rsidR="00353B24" w:rsidRPr="00353B24" w:rsidRDefault="00232B88" w:rsidP="00353B24">
      <w:pPr>
        <w:spacing w:after="0" w:line="240" w:lineRule="auto"/>
      </w:pPr>
      <w:r>
        <w:rPr>
          <w:b/>
          <w:bCs/>
        </w:rPr>
        <w:t xml:space="preserve">Discussion </w:t>
      </w:r>
      <w:r w:rsidR="00156B3F">
        <w:rPr>
          <w:b/>
          <w:bCs/>
        </w:rPr>
        <w:t>–</w:t>
      </w:r>
      <w:r>
        <w:rPr>
          <w:b/>
          <w:bCs/>
        </w:rPr>
        <w:t xml:space="preserve"> </w:t>
      </w:r>
      <w:r w:rsidR="006C4A89">
        <w:t xml:space="preserve">Initial discussion by Board on health insurance premiums. </w:t>
      </w:r>
      <w:r w:rsidR="00353B24">
        <w:t>It was suggested to w</w:t>
      </w:r>
      <w:r w:rsidR="00156B3F" w:rsidRPr="00353B24">
        <w:t>ork on premiums to try and get a better deal</w:t>
      </w:r>
      <w:r w:rsidR="004725FA" w:rsidRPr="00353B24">
        <w:t xml:space="preserve">. </w:t>
      </w:r>
      <w:r w:rsidR="00156B3F" w:rsidRPr="00353B24">
        <w:t>Kendra will get more information</w:t>
      </w:r>
      <w:r w:rsidR="006C4A89">
        <w:t xml:space="preserve"> and reach out to Jeremy Englund of Lee County regarding their plan through IPBC. </w:t>
      </w:r>
      <w:r w:rsidR="004725FA" w:rsidRPr="00353B24">
        <w:t xml:space="preserve"> </w:t>
      </w:r>
      <w:r w:rsidR="00156B3F" w:rsidRPr="00353B24">
        <w:t xml:space="preserve">The Board has agreed to meet at the end of </w:t>
      </w:r>
      <w:r w:rsidR="002D7344" w:rsidRPr="00353B24">
        <w:t>April to discuss and approve</w:t>
      </w:r>
      <w:r w:rsidR="004725FA" w:rsidRPr="00353B24">
        <w:t xml:space="preserve">. </w:t>
      </w:r>
      <w:r w:rsidR="006C4A89">
        <w:t xml:space="preserve"> </w:t>
      </w:r>
      <w:r w:rsidR="00353B24" w:rsidRPr="00353B24">
        <w:t>W</w:t>
      </w:r>
      <w:r w:rsidR="006C4A89">
        <w:t>ill</w:t>
      </w:r>
      <w:r w:rsidR="00353B24" w:rsidRPr="00353B24">
        <w:t xml:space="preserve"> need to contact employees and find out who </w:t>
      </w:r>
      <w:r w:rsidR="006C4A89">
        <w:t>will</w:t>
      </w:r>
      <w:r w:rsidR="00353B24" w:rsidRPr="00353B24">
        <w:t xml:space="preserve"> be taking insurance and who </w:t>
      </w:r>
      <w:r w:rsidR="006C4A89">
        <w:t>will be covered</w:t>
      </w:r>
      <w:r w:rsidR="00353B24" w:rsidRPr="00353B24">
        <w:t xml:space="preserve"> (individual vs dependents)</w:t>
      </w:r>
      <w:r w:rsidR="004725FA" w:rsidRPr="00353B24">
        <w:t xml:space="preserve">. </w:t>
      </w:r>
      <w:r w:rsidR="00353B24" w:rsidRPr="00353B24">
        <w:t xml:space="preserve">Kristy will be working on adding this to the budget.  </w:t>
      </w:r>
    </w:p>
    <w:p w14:paraId="5741C660" w14:textId="77777777" w:rsidR="00353B24" w:rsidRPr="00353B24" w:rsidRDefault="00353B24" w:rsidP="006A1C2D">
      <w:pPr>
        <w:spacing w:after="0" w:line="240" w:lineRule="auto"/>
      </w:pPr>
    </w:p>
    <w:p w14:paraId="25354A3C" w14:textId="77777777" w:rsidR="006C4A89" w:rsidRDefault="002D7344" w:rsidP="006A1C2D">
      <w:pPr>
        <w:spacing w:after="0" w:line="240" w:lineRule="auto"/>
      </w:pPr>
      <w:r>
        <w:rPr>
          <w:b/>
          <w:bCs/>
        </w:rPr>
        <w:t xml:space="preserve">Financial Report – </w:t>
      </w:r>
      <w:r w:rsidRPr="00353B24">
        <w:t xml:space="preserve">This is accrued method and will be </w:t>
      </w:r>
      <w:r w:rsidR="004725FA" w:rsidRPr="00353B24">
        <w:t>used</w:t>
      </w:r>
      <w:r w:rsidRPr="00353B24">
        <w:t xml:space="preserve"> moving forward</w:t>
      </w:r>
      <w:r w:rsidR="004725FA" w:rsidRPr="00353B24">
        <w:t xml:space="preserve">. </w:t>
      </w:r>
      <w:r w:rsidRPr="00353B24">
        <w:t>Run through March 31</w:t>
      </w:r>
      <w:r w:rsidR="004725FA" w:rsidRPr="00353B24">
        <w:rPr>
          <w:vertAlign w:val="superscript"/>
        </w:rPr>
        <w:t>st</w:t>
      </w:r>
      <w:r w:rsidR="004725FA" w:rsidRPr="00353B24">
        <w:t xml:space="preserve">. </w:t>
      </w:r>
      <w:r w:rsidRPr="00353B24">
        <w:t xml:space="preserve">Not 100% </w:t>
      </w:r>
      <w:r w:rsidR="004725FA" w:rsidRPr="00353B24">
        <w:t>complete but</w:t>
      </w:r>
      <w:r w:rsidRPr="00353B24">
        <w:t xml:space="preserve"> will not have a lot of changes.  This gives a good idea as to year to date.  We do have a significant amount of money from February still waiting to come in (see report)</w:t>
      </w:r>
      <w:r w:rsidR="004725FA" w:rsidRPr="00353B24">
        <w:t xml:space="preserve">. </w:t>
      </w:r>
      <w:r w:rsidRPr="00353B24">
        <w:t xml:space="preserve">Greyhound was not </w:t>
      </w:r>
      <w:r w:rsidR="00D81608" w:rsidRPr="00353B24">
        <w:t>figured in</w:t>
      </w:r>
      <w:r w:rsidRPr="00353B24">
        <w:t>.  IDOT was contacted and the $700,000 should be cut today or tomorrow</w:t>
      </w:r>
      <w:r w:rsidR="004725FA" w:rsidRPr="00353B24">
        <w:t xml:space="preserve">. </w:t>
      </w:r>
      <w:r w:rsidRPr="00353B24">
        <w:t xml:space="preserve">Should </w:t>
      </w:r>
      <w:r w:rsidR="004725FA" w:rsidRPr="00353B24">
        <w:t>have it</w:t>
      </w:r>
      <w:r w:rsidRPr="00353B24">
        <w:t xml:space="preserve"> in 7 to 10 days</w:t>
      </w:r>
      <w:r w:rsidR="004725FA" w:rsidRPr="00353B24">
        <w:t xml:space="preserve">. </w:t>
      </w:r>
    </w:p>
    <w:p w14:paraId="70F97C1B" w14:textId="77777777" w:rsidR="006C4A89" w:rsidRDefault="006C4A89" w:rsidP="006A1C2D">
      <w:pPr>
        <w:spacing w:after="0" w:line="240" w:lineRule="auto"/>
      </w:pPr>
    </w:p>
    <w:p w14:paraId="21DFE736" w14:textId="5EE53C14" w:rsidR="002D7344" w:rsidRPr="00353B24" w:rsidRDefault="00630C1E" w:rsidP="006A1C2D">
      <w:pPr>
        <w:spacing w:after="0" w:line="240" w:lineRule="auto"/>
      </w:pPr>
      <w:r w:rsidRPr="00353B24">
        <w:t xml:space="preserve">We may have one more </w:t>
      </w:r>
      <w:r w:rsidR="004725FA" w:rsidRPr="00353B24">
        <w:t>month</w:t>
      </w:r>
      <w:r w:rsidRPr="00353B24">
        <w:t xml:space="preserve"> submission for CARES and then that will be expenses completely.  We are on track for everything for the year</w:t>
      </w:r>
      <w:r w:rsidR="004725FA" w:rsidRPr="00353B24">
        <w:t xml:space="preserve">. </w:t>
      </w:r>
      <w:r w:rsidRPr="00353B24">
        <w:t>March closed a little over a week ago</w:t>
      </w:r>
      <w:r w:rsidR="004725FA" w:rsidRPr="00353B24">
        <w:t xml:space="preserve">. </w:t>
      </w:r>
      <w:r w:rsidRPr="00353B24">
        <w:t xml:space="preserve">Kristy gets everything submitted within 10 business days.  We will still have some claims going through the County for </w:t>
      </w:r>
      <w:r w:rsidR="004725FA" w:rsidRPr="00353B24">
        <w:t>a while</w:t>
      </w:r>
      <w:r w:rsidRPr="00353B24">
        <w:t xml:space="preserve"> after July 1</w:t>
      </w:r>
      <w:r w:rsidR="004725FA" w:rsidRPr="00353B24">
        <w:rPr>
          <w:vertAlign w:val="superscript"/>
        </w:rPr>
        <w:t>st</w:t>
      </w:r>
      <w:r w:rsidR="004725FA" w:rsidRPr="00353B24">
        <w:t xml:space="preserve">. </w:t>
      </w:r>
    </w:p>
    <w:p w14:paraId="2D63C3C2" w14:textId="77777777" w:rsidR="00630C1E" w:rsidRPr="00353B24" w:rsidRDefault="00630C1E" w:rsidP="006A1C2D">
      <w:pPr>
        <w:spacing w:after="0" w:line="240" w:lineRule="auto"/>
      </w:pPr>
    </w:p>
    <w:p w14:paraId="75D57811" w14:textId="29BDB806" w:rsidR="00630C1E" w:rsidRPr="00353B24" w:rsidRDefault="00630C1E" w:rsidP="006A1C2D">
      <w:pPr>
        <w:spacing w:after="0" w:line="240" w:lineRule="auto"/>
      </w:pPr>
      <w:r w:rsidRPr="00353B24">
        <w:t>There is a large portion in Receivables for capital expenditures which we have not gotten reimbursed yet.  This is sent through an entirely different system</w:t>
      </w:r>
      <w:r w:rsidR="004725FA" w:rsidRPr="00353B24">
        <w:t xml:space="preserve">. </w:t>
      </w:r>
      <w:r w:rsidRPr="00353B24">
        <w:t xml:space="preserve">Steve was doing </w:t>
      </w:r>
      <w:r w:rsidR="004725FA" w:rsidRPr="00353B24">
        <w:t>this but</w:t>
      </w:r>
      <w:r w:rsidRPr="00353B24">
        <w:t xml:space="preserve"> will be transferred over to Kristy due to Steve being in his new position.  </w:t>
      </w:r>
    </w:p>
    <w:p w14:paraId="65B8F588" w14:textId="77777777" w:rsidR="001F6D45" w:rsidRPr="00353B24" w:rsidRDefault="001F6D45" w:rsidP="006A1C2D">
      <w:pPr>
        <w:spacing w:after="0" w:line="240" w:lineRule="auto"/>
      </w:pPr>
    </w:p>
    <w:p w14:paraId="1C881D1A" w14:textId="15F81C70" w:rsidR="001F6D45" w:rsidRPr="00353B24" w:rsidRDefault="001F6D45" w:rsidP="006A1C2D">
      <w:pPr>
        <w:spacing w:after="0" w:line="240" w:lineRule="auto"/>
      </w:pPr>
      <w:r w:rsidRPr="00353B24">
        <w:t xml:space="preserve">IDOT is going to </w:t>
      </w:r>
      <w:r w:rsidR="006C4A89">
        <w:t>provide a training on May 1</w:t>
      </w:r>
      <w:r w:rsidR="006C4A89" w:rsidRPr="006C4A89">
        <w:rPr>
          <w:vertAlign w:val="superscript"/>
        </w:rPr>
        <w:t>st</w:t>
      </w:r>
      <w:r w:rsidR="006C4A89">
        <w:t xml:space="preserve"> on the State of Illinois’ “Bid Buy” procurement program. </w:t>
      </w:r>
      <w:r w:rsidRPr="00353B24">
        <w:t xml:space="preserve">This </w:t>
      </w:r>
      <w:r w:rsidR="006C4A89">
        <w:t>will</w:t>
      </w:r>
      <w:r w:rsidRPr="00353B24">
        <w:t xml:space="preserve"> lower our procurement </w:t>
      </w:r>
      <w:r w:rsidR="004725FA" w:rsidRPr="00353B24">
        <w:t>costs</w:t>
      </w:r>
      <w:r w:rsidR="006C4A89">
        <w:t xml:space="preserve"> as well as time dedicated to completing procurement process</w:t>
      </w:r>
      <w:r w:rsidRPr="00353B24">
        <w:t xml:space="preserve">.  </w:t>
      </w:r>
    </w:p>
    <w:p w14:paraId="521315CC" w14:textId="77777777" w:rsidR="001F6D45" w:rsidRDefault="001F6D45" w:rsidP="006A1C2D">
      <w:pPr>
        <w:spacing w:after="0" w:line="240" w:lineRule="auto"/>
        <w:rPr>
          <w:b/>
          <w:bCs/>
        </w:rPr>
      </w:pPr>
    </w:p>
    <w:p w14:paraId="4D4D3572" w14:textId="0CD2373D" w:rsidR="001F6D45" w:rsidRDefault="001F6D45" w:rsidP="006A1C2D">
      <w:pPr>
        <w:spacing w:after="0" w:line="240" w:lineRule="auto"/>
        <w:rPr>
          <w:b/>
          <w:bCs/>
        </w:rPr>
      </w:pPr>
      <w:r>
        <w:rPr>
          <w:b/>
          <w:bCs/>
        </w:rPr>
        <w:t>No Executive Session</w:t>
      </w:r>
    </w:p>
    <w:p w14:paraId="7E38F6C7" w14:textId="77777777" w:rsidR="001F6D45" w:rsidRDefault="001F6D45" w:rsidP="006A1C2D">
      <w:pPr>
        <w:spacing w:after="0" w:line="240" w:lineRule="auto"/>
        <w:rPr>
          <w:b/>
          <w:bCs/>
        </w:rPr>
      </w:pPr>
    </w:p>
    <w:p w14:paraId="10CA4ADF" w14:textId="4F491653" w:rsidR="001F6D45" w:rsidRDefault="001F6D45" w:rsidP="006A1C2D">
      <w:pPr>
        <w:spacing w:after="0" w:line="240" w:lineRule="auto"/>
        <w:rPr>
          <w:b/>
          <w:bCs/>
        </w:rPr>
      </w:pPr>
      <w:r>
        <w:rPr>
          <w:b/>
          <w:bCs/>
        </w:rPr>
        <w:t>Greg Sparrow motioned</w:t>
      </w:r>
      <w:r w:rsidR="004725FA">
        <w:rPr>
          <w:b/>
          <w:bCs/>
        </w:rPr>
        <w:t xml:space="preserve"> to end the meeting.</w:t>
      </w:r>
      <w:r w:rsidR="006C4A89">
        <w:rPr>
          <w:b/>
          <w:bCs/>
        </w:rPr>
        <w:t xml:space="preserve"> </w:t>
      </w:r>
      <w:r>
        <w:rPr>
          <w:b/>
          <w:bCs/>
        </w:rPr>
        <w:t xml:space="preserve">Aaqil Khan </w:t>
      </w:r>
      <w:r w:rsidR="004725FA">
        <w:rPr>
          <w:b/>
          <w:bCs/>
        </w:rPr>
        <w:t>seconded.</w:t>
      </w:r>
      <w:r w:rsidR="006C4A89">
        <w:rPr>
          <w:b/>
          <w:bCs/>
        </w:rPr>
        <w:t xml:space="preserve"> </w:t>
      </w:r>
      <w:r>
        <w:rPr>
          <w:b/>
          <w:bCs/>
        </w:rPr>
        <w:t>No opposed</w:t>
      </w:r>
    </w:p>
    <w:p w14:paraId="5DE8E96C" w14:textId="7FD12A25" w:rsidR="001F6D45" w:rsidRPr="00B1784E" w:rsidRDefault="001F6D45" w:rsidP="006A1C2D">
      <w:pPr>
        <w:spacing w:after="0" w:line="240" w:lineRule="auto"/>
        <w:rPr>
          <w:b/>
          <w:bCs/>
        </w:rPr>
      </w:pPr>
      <w:r>
        <w:rPr>
          <w:b/>
          <w:bCs/>
        </w:rPr>
        <w:t>Adjourned at 5:29 p.m.</w:t>
      </w:r>
    </w:p>
    <w:p w14:paraId="5D8EB135" w14:textId="77777777" w:rsidR="00202818" w:rsidRDefault="00202818" w:rsidP="006A1C2D">
      <w:pPr>
        <w:spacing w:after="0" w:line="240" w:lineRule="auto"/>
      </w:pPr>
    </w:p>
    <w:p w14:paraId="3393EEB9" w14:textId="2D37B5C4" w:rsidR="00202818" w:rsidRPr="00202818" w:rsidRDefault="00202818" w:rsidP="006A1C2D">
      <w:pPr>
        <w:spacing w:after="0" w:line="240" w:lineRule="auto"/>
        <w:jc w:val="center"/>
        <w:rPr>
          <w:b/>
          <w:bCs/>
        </w:rPr>
      </w:pPr>
      <w:r w:rsidRPr="00202818">
        <w:rPr>
          <w:b/>
          <w:bCs/>
        </w:rPr>
        <w:t xml:space="preserve">Next Meeting:  </w:t>
      </w:r>
      <w:r w:rsidR="000C39CB">
        <w:rPr>
          <w:b/>
          <w:bCs/>
        </w:rPr>
        <w:t>May 9</w:t>
      </w:r>
      <w:r w:rsidRPr="00202818">
        <w:rPr>
          <w:b/>
          <w:bCs/>
        </w:rPr>
        <w:t>, 2024 @ 4:30 PM</w:t>
      </w:r>
    </w:p>
    <w:p w14:paraId="5340128B" w14:textId="77777777" w:rsidR="00202818" w:rsidRPr="00202818" w:rsidRDefault="00202818" w:rsidP="006A1C2D">
      <w:pPr>
        <w:spacing w:after="0" w:line="240" w:lineRule="auto"/>
      </w:pPr>
    </w:p>
    <w:sectPr w:rsidR="00202818" w:rsidRPr="00202818" w:rsidSect="00F92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02951"/>
    <w:multiLevelType w:val="hybridMultilevel"/>
    <w:tmpl w:val="EEEE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1266">
    <w:abstractNumId w:val="7"/>
  </w:num>
  <w:num w:numId="2" w16cid:durableId="1271670588">
    <w:abstractNumId w:val="12"/>
  </w:num>
  <w:num w:numId="3" w16cid:durableId="1518882954">
    <w:abstractNumId w:val="1"/>
  </w:num>
  <w:num w:numId="4" w16cid:durableId="1087188685">
    <w:abstractNumId w:val="5"/>
  </w:num>
  <w:num w:numId="5" w16cid:durableId="1886987885">
    <w:abstractNumId w:val="9"/>
  </w:num>
  <w:num w:numId="6" w16cid:durableId="22099186">
    <w:abstractNumId w:val="8"/>
  </w:num>
  <w:num w:numId="7" w16cid:durableId="1987009868">
    <w:abstractNumId w:val="0"/>
  </w:num>
  <w:num w:numId="8" w16cid:durableId="1331637418">
    <w:abstractNumId w:val="4"/>
  </w:num>
  <w:num w:numId="9" w16cid:durableId="1286695668">
    <w:abstractNumId w:val="11"/>
  </w:num>
  <w:num w:numId="10" w16cid:durableId="962468997">
    <w:abstractNumId w:val="10"/>
  </w:num>
  <w:num w:numId="11" w16cid:durableId="1695308677">
    <w:abstractNumId w:val="6"/>
  </w:num>
  <w:num w:numId="12" w16cid:durableId="2100560538">
    <w:abstractNumId w:val="2"/>
  </w:num>
  <w:num w:numId="13" w16cid:durableId="110796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4489A"/>
    <w:rsid w:val="0009488F"/>
    <w:rsid w:val="000C39CB"/>
    <w:rsid w:val="00116977"/>
    <w:rsid w:val="00141F71"/>
    <w:rsid w:val="00156B3F"/>
    <w:rsid w:val="00166EC6"/>
    <w:rsid w:val="001C3DF4"/>
    <w:rsid w:val="001F6D45"/>
    <w:rsid w:val="00202818"/>
    <w:rsid w:val="00232B88"/>
    <w:rsid w:val="002D6649"/>
    <w:rsid w:val="002D7344"/>
    <w:rsid w:val="003140C8"/>
    <w:rsid w:val="00327A4F"/>
    <w:rsid w:val="00353B24"/>
    <w:rsid w:val="004725FA"/>
    <w:rsid w:val="00630C1E"/>
    <w:rsid w:val="00640EC7"/>
    <w:rsid w:val="00652388"/>
    <w:rsid w:val="006A1C2D"/>
    <w:rsid w:val="006C4A89"/>
    <w:rsid w:val="006E65A6"/>
    <w:rsid w:val="00707B89"/>
    <w:rsid w:val="00724B6C"/>
    <w:rsid w:val="00864717"/>
    <w:rsid w:val="00900189"/>
    <w:rsid w:val="00931747"/>
    <w:rsid w:val="00961F78"/>
    <w:rsid w:val="0098334E"/>
    <w:rsid w:val="009900E8"/>
    <w:rsid w:val="009D378A"/>
    <w:rsid w:val="00B15CF4"/>
    <w:rsid w:val="00B1784E"/>
    <w:rsid w:val="00B33BAC"/>
    <w:rsid w:val="00BC6B91"/>
    <w:rsid w:val="00BF2D46"/>
    <w:rsid w:val="00C12D1F"/>
    <w:rsid w:val="00C14BF5"/>
    <w:rsid w:val="00C15034"/>
    <w:rsid w:val="00C75DA0"/>
    <w:rsid w:val="00D81608"/>
    <w:rsid w:val="00E17E2D"/>
    <w:rsid w:val="00E90843"/>
    <w:rsid w:val="00EB5CE2"/>
    <w:rsid w:val="00F928EC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EE67AF1-503E-4EF5-B17B-4B6BC2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3</cp:revision>
  <dcterms:created xsi:type="dcterms:W3CDTF">2024-04-22T14:49:00Z</dcterms:created>
  <dcterms:modified xsi:type="dcterms:W3CDTF">2024-05-09T21:28:00Z</dcterms:modified>
</cp:coreProperties>
</file>